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B0" w:rsidRPr="00C358D4" w:rsidRDefault="00780CB0" w:rsidP="00780CB0">
      <w:pPr>
        <w:pStyle w:val="a5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58D4">
        <w:rPr>
          <w:rFonts w:ascii="Times New Roman" w:hAnsi="Times New Roman" w:cs="Times New Roman"/>
          <w:sz w:val="28"/>
          <w:szCs w:val="28"/>
        </w:rPr>
        <w:t>УТВЕРЖДАЮ</w:t>
      </w:r>
    </w:p>
    <w:p w:rsidR="00780CB0" w:rsidRPr="00C358D4" w:rsidRDefault="00780CB0" w:rsidP="00780CB0">
      <w:pPr>
        <w:pStyle w:val="a5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58D4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780CB0" w:rsidRDefault="00780CB0" w:rsidP="00780CB0">
      <w:pPr>
        <w:pStyle w:val="a5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58D4">
        <w:rPr>
          <w:rFonts w:ascii="Times New Roman" w:hAnsi="Times New Roman" w:cs="Times New Roman"/>
          <w:sz w:val="28"/>
          <w:szCs w:val="28"/>
        </w:rPr>
        <w:t>И.В. Тимофеев</w:t>
      </w:r>
    </w:p>
    <w:p w:rsidR="00780CB0" w:rsidRDefault="00780CB0" w:rsidP="00780CB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</w:p>
    <w:p w:rsidR="00780CB0" w:rsidRDefault="00780CB0" w:rsidP="00780CB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ПРОГРАММА (ПЛАН)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границах муниципального образования «Мухоршибирский район» 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202</w:t>
      </w:r>
      <w:r w:rsidR="0076200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год</w:t>
      </w:r>
    </w:p>
    <w:p w:rsidR="00A04477" w:rsidRPr="00FB5853" w:rsidRDefault="00A04477" w:rsidP="00A044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(ущерба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proofErr w:type="gramEnd"/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храняемым законом ценностям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3761C1" w:rsidRDefault="00A04477" w:rsidP="00A044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3761C1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 w:rsidRPr="003761C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соответствии с 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 xml:space="preserve">Положением о муниципальном земельном контроле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границах муниципального образования «Мухоршибирский район» 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>(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далее – Положение), утвержденным решением Совета депутатов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образования «Мухоршибирский район» 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30 сентября 2021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г.  №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120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осуществляет муниципальный земельн</w:t>
      </w:r>
      <w:r w:rsidRPr="003761C1">
        <w:rPr>
          <w:rFonts w:ascii="Times New Roman" w:hAnsi="Times New Roman" w:cs="Times New Roman"/>
          <w:b w:val="0"/>
          <w:color w:val="000000"/>
          <w:sz w:val="26"/>
          <w:szCs w:val="26"/>
        </w:rPr>
        <w:t>ый контроль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границах 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муниципального образования «Мухоршибирский район»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</w:t>
      </w: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являются:</w:t>
      </w:r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- производственные объекты).</w:t>
      </w:r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контролируемыми лицами при осуществлении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земельного 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контроля понимаются граждане и организации, указанные в статье 31 Федерального закона от 31.07.2020 № 248-ФЗ "О государственном контроле (надзоре) и муниципальном контроле в Российской Федерации", деятельность, действия или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деятельности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которых, либо производственные объекты, находящиеся во владении и (или) в пользовании которых, подлежат муниципальному контролю.</w:t>
      </w:r>
      <w:proofErr w:type="gramEnd"/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Предметом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земельного 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проверки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являются: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данной проблемы является активное проведение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лжностными лицами контрольного 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Сознательное бездействие правообладателей земельных участков. </w:t>
      </w:r>
    </w:p>
    <w:p w:rsidR="00A04477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ридически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лица, индивидуальны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предприниматели, 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сознательно без разрешительной документации занимаются самовольным занятием участков.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</w:t>
      </w:r>
      <w:proofErr w:type="gramEnd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при проведении контроль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</w:t>
      </w:r>
      <w:proofErr w:type="gramEnd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Раздел II. Цели и задачи </w:t>
      </w:r>
      <w:proofErr w:type="gramStart"/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реализации программы профилактики рисков причинения вреда</w:t>
      </w:r>
      <w:proofErr w:type="gramEnd"/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Цели разработки Программы и проведение профилактической работы: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ab/>
        <w:t xml:space="preserve">- 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прозрачности системы муниципального контроля;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мотивация подконтрольных субъектов к добросовестному поведению.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выявление причин, факторов и условий, способствующих причинению вреда (ущерба) охраняемым законом ценностям и нарушению обязательных 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требований, определение способов устранения или снижения рисков их возникновения;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квалификации кадрового состава контрольно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Сроки реализации Программы приведены в перечне основных профилактических мероприятий на 202</w:t>
      </w:r>
      <w:r w:rsidR="00762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</w:t>
      </w:r>
      <w:bookmarkStart w:id="0" w:name="_GoBack"/>
      <w:bookmarkEnd w:id="0"/>
      <w:r w:rsidR="00F532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4477" w:rsidRPr="00FB5853" w:rsidRDefault="00A04477" w:rsidP="00A04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III. Перечень профилактических мероприятий, сроки (периодичность) их проведения</w:t>
      </w:r>
    </w:p>
    <w:p w:rsidR="00A04477" w:rsidRPr="00FB5853" w:rsidRDefault="00A04477" w:rsidP="00A04477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основных профилактических мероприятий Программы на 202</w:t>
      </w:r>
      <w:r w:rsidR="007620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приведен в таблице №1. </w:t>
      </w:r>
    </w:p>
    <w:p w:rsidR="00A04477" w:rsidRPr="00FB5853" w:rsidRDefault="00A04477" w:rsidP="00A04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585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Таблица № 1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0"/>
          <w:szCs w:val="20"/>
          <w:lang w:val="en-US"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A04477" w:rsidRPr="00FB5853" w:rsidTr="008464BB"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Адресат мероприятия</w:t>
            </w:r>
          </w:p>
        </w:tc>
      </w:tr>
    </w:tbl>
    <w:p w:rsidR="00A04477" w:rsidRPr="00FB5853" w:rsidRDefault="00A04477" w:rsidP="00A044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A04477" w:rsidRPr="00FB5853" w:rsidTr="008464BB">
        <w:trPr>
          <w:trHeight w:val="28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4477" w:rsidRPr="00FB5853" w:rsidTr="008464BB">
        <w:tc>
          <w:tcPr>
            <w:tcW w:w="720" w:type="dxa"/>
            <w:vMerge w:val="restart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Мухоршибирский район»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актуальной информации: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c>
          <w:tcPr>
            <w:tcW w:w="720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A04477" w:rsidRPr="00FB5853" w:rsidTr="008464BB"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FB2605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A04477" w:rsidRPr="00FB58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перечень</w:t>
              </w:r>
            </w:hyperlink>
            <w:r w:rsidR="00A04477"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327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116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контроля, учитываемых в рамках 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ежегодного плана контрольных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мероприятий, с указанием категории риска;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216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7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389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7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A04477" w:rsidRPr="00FB5853" w:rsidTr="008464BB">
        <w:trPr>
          <w:trHeight w:val="2216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128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3 дней со дня утверждения доклада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114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3 дней со дня утверждения доклада (не позднее 15 марта 202</w:t>
            </w:r>
            <w:r w:rsidR="007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880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440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F5321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на 202</w:t>
            </w:r>
            <w:r w:rsidR="00F53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A04477" w:rsidRPr="00FB5853" w:rsidRDefault="00762006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04477"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="00A04477"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04477"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A04477" w:rsidRPr="00FB5853" w:rsidRDefault="00762006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размещается на официальном сайте в сети «Интернет» </w:t>
            </w:r>
            <w:r w:rsidR="00A04477"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утверждения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40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 рабочих дней со дня их утверждения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204"/>
        </w:trPr>
        <w:tc>
          <w:tcPr>
            <w:tcW w:w="720" w:type="dxa"/>
            <w:vMerge w:val="restart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посредством: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153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 в средствах массовой информации;</w:t>
            </w: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762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63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публикаций на официальном сайте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«Мухоршибирский район»</w:t>
            </w: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 w:rsidR="00762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216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контрольным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A04477" w:rsidRPr="00FB5853" w:rsidRDefault="00A04477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ежегодно, не позднее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762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076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856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должностным лицом контрольного органа (по телефону, посредством </w:t>
            </w:r>
            <w:proofErr w:type="spell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личном приеме либо в ходе проведения профилактического мероприятия, контрольного мероприятия)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332493" w:rsidRPr="00FB5853" w:rsidTr="008464BB">
        <w:trPr>
          <w:trHeight w:val="2856"/>
        </w:trPr>
        <w:tc>
          <w:tcPr>
            <w:tcW w:w="720" w:type="dxa"/>
          </w:tcPr>
          <w:p w:rsidR="00332493" w:rsidRPr="001F6ECF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6.</w:t>
            </w:r>
          </w:p>
        </w:tc>
        <w:tc>
          <w:tcPr>
            <w:tcW w:w="4320" w:type="dxa"/>
          </w:tcPr>
          <w:p w:rsidR="00332493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(</w:t>
            </w:r>
            <w:r w:rsidRPr="001F6ECF">
              <w:rPr>
                <w:lang w:eastAsia="ru-RU"/>
              </w:rPr>
              <w:t>Подконтрольный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субъект</w:t>
            </w:r>
            <w:r>
              <w:rPr>
                <w:lang w:eastAsia="ru-RU"/>
              </w:rPr>
              <w:t xml:space="preserve"> вправе</w:t>
            </w:r>
            <w:proofErr w:type="gramEnd"/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обратиться</w:t>
            </w:r>
            <w:r>
              <w:rPr>
                <w:lang w:eastAsia="ru-RU"/>
              </w:rPr>
              <w:t xml:space="preserve"> с </w:t>
            </w:r>
            <w:r w:rsidRPr="001F6ECF">
              <w:rPr>
                <w:lang w:eastAsia="ru-RU"/>
              </w:rPr>
              <w:t>заявлением</w:t>
            </w:r>
            <w:r>
              <w:rPr>
                <w:lang w:eastAsia="ru-RU"/>
              </w:rPr>
              <w:t xml:space="preserve"> о </w:t>
            </w:r>
            <w:r w:rsidRPr="001F6ECF">
              <w:rPr>
                <w:lang w:eastAsia="ru-RU"/>
              </w:rPr>
              <w:t>проведении</w:t>
            </w: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в</w:t>
            </w:r>
            <w:proofErr w:type="gramEnd"/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proofErr w:type="gramStart"/>
            <w:r w:rsidRPr="001F6ECF">
              <w:rPr>
                <w:lang w:eastAsia="ru-RU"/>
              </w:rPr>
              <w:t>отношении</w:t>
            </w:r>
            <w:proofErr w:type="gramEnd"/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него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профилактического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 xml:space="preserve">визита. При положительном решении </w:t>
            </w:r>
            <w:proofErr w:type="gramStart"/>
            <w:r w:rsidRPr="001F6ECF">
              <w:rPr>
                <w:lang w:eastAsia="ru-RU"/>
              </w:rPr>
              <w:t>по</w:t>
            </w:r>
            <w:proofErr w:type="gramEnd"/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результатам рассмотрения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заявления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Комитет </w:t>
            </w:r>
            <w:r w:rsidRPr="001F6ECF">
              <w:rPr>
                <w:lang w:eastAsia="ru-RU"/>
              </w:rPr>
              <w:t>осуществляет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профилактический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визит, предварительно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согласовав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дату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проведения</w:t>
            </w:r>
            <w:r>
              <w:rPr>
                <w:lang w:eastAsia="ru-RU"/>
              </w:rPr>
              <w:t xml:space="preserve"> с </w:t>
            </w:r>
            <w:r w:rsidRPr="001F6ECF">
              <w:rPr>
                <w:lang w:eastAsia="ru-RU"/>
              </w:rPr>
              <w:t>подконтрольным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субъектом.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Профилактический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визит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проводится</w:t>
            </w:r>
            <w:r>
              <w:rPr>
                <w:lang w:eastAsia="ru-RU"/>
              </w:rPr>
              <w:t xml:space="preserve"> Комитетом</w:t>
            </w:r>
            <w:r w:rsidRPr="001F6ECF">
              <w:rPr>
                <w:lang w:eastAsia="ru-RU"/>
              </w:rPr>
              <w:t xml:space="preserve"> в форме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профилактической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беседы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по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месту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осуществления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 xml:space="preserve">деятельности </w:t>
            </w:r>
            <w:r w:rsidRPr="001F6ECF">
              <w:rPr>
                <w:shd w:val="clear" w:color="auto" w:fill="FFFFFF"/>
              </w:rPr>
              <w:t xml:space="preserve">подконтрольного </w:t>
            </w:r>
            <w:r w:rsidRPr="001F6ECF">
              <w:rPr>
                <w:lang w:eastAsia="ru-RU"/>
              </w:rPr>
              <w:t>субъекта либо путем</w:t>
            </w:r>
            <w:r>
              <w:rPr>
                <w:lang w:eastAsia="ru-RU"/>
              </w:rPr>
              <w:t xml:space="preserve"> использования </w:t>
            </w:r>
            <w:proofErr w:type="spellStart"/>
            <w:r>
              <w:rPr>
                <w:lang w:eastAsia="ru-RU"/>
              </w:rPr>
              <w:t>видео-конференц</w:t>
            </w:r>
            <w:r w:rsidR="00F53210">
              <w:rPr>
                <w:lang w:eastAsia="ru-RU"/>
              </w:rPr>
              <w:t>-</w:t>
            </w:r>
            <w:r w:rsidRPr="001F6ECF">
              <w:rPr>
                <w:lang w:eastAsia="ru-RU"/>
              </w:rPr>
              <w:t>связи</w:t>
            </w:r>
            <w:proofErr w:type="spellEnd"/>
            <w:r w:rsidRPr="001F6ECF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В ходе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профилактического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визита</w:t>
            </w:r>
            <w:r>
              <w:rPr>
                <w:lang w:eastAsia="ru-RU"/>
              </w:rPr>
              <w:t xml:space="preserve"> </w:t>
            </w:r>
            <w:proofErr w:type="gramStart"/>
            <w:r w:rsidRPr="001F6ECF">
              <w:rPr>
                <w:lang w:eastAsia="ru-RU"/>
              </w:rPr>
              <w:t>подконтрольный</w:t>
            </w:r>
            <w:proofErr w:type="gramEnd"/>
          </w:p>
          <w:p w:rsidR="00332493" w:rsidRPr="001F6ECF" w:rsidRDefault="00332493" w:rsidP="00332493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Субъект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 xml:space="preserve">информируется об </w:t>
            </w:r>
            <w:proofErr w:type="gramStart"/>
            <w:r w:rsidRPr="001F6ECF">
              <w:rPr>
                <w:lang w:eastAsia="ru-RU"/>
              </w:rPr>
              <w:t>обязательных</w:t>
            </w:r>
            <w:proofErr w:type="gramEnd"/>
          </w:p>
          <w:p w:rsidR="00332493" w:rsidRPr="001F6ECF" w:rsidRDefault="00332493" w:rsidP="00332493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требованиях,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 xml:space="preserve">предъявляемых к его деятельности либо к </w:t>
            </w:r>
            <w:proofErr w:type="gramStart"/>
            <w:r w:rsidRPr="001F6ECF">
              <w:rPr>
                <w:lang w:eastAsia="ru-RU"/>
              </w:rPr>
              <w:t>принадлежащим</w:t>
            </w:r>
            <w:proofErr w:type="gramEnd"/>
            <w:r w:rsidRPr="001F6ECF">
              <w:rPr>
                <w:lang w:eastAsia="ru-RU"/>
              </w:rPr>
              <w:t xml:space="preserve"> ему</w:t>
            </w:r>
          </w:p>
          <w:p w:rsidR="00332493" w:rsidRPr="001F6ECF" w:rsidRDefault="00332493" w:rsidP="00332493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 xml:space="preserve">объектам контроля, их </w:t>
            </w:r>
            <w:proofErr w:type="gramStart"/>
            <w:r w:rsidRPr="001F6ECF">
              <w:rPr>
                <w:lang w:eastAsia="ru-RU"/>
              </w:rPr>
              <w:t>соответствии</w:t>
            </w:r>
            <w:proofErr w:type="gramEnd"/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критериям риска,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основаниях и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рекомендуемых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способах снижения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категории риска, а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также о видах,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содержании и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интенсивности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контрольных</w:t>
            </w:r>
          </w:p>
          <w:p w:rsidR="00332493" w:rsidRPr="001F6ECF" w:rsidRDefault="00332493" w:rsidP="00332493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мероприятий,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проводимых в отношении объекта контроля исходя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из отнесения</w:t>
            </w:r>
          </w:p>
          <w:p w:rsidR="00332493" w:rsidRPr="001F6ECF" w:rsidRDefault="00332493" w:rsidP="00332493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соответствующей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категории риска. В</w:t>
            </w:r>
          </w:p>
          <w:p w:rsidR="00332493" w:rsidRPr="001F6ECF" w:rsidRDefault="00332493" w:rsidP="00332493">
            <w:pPr>
              <w:pStyle w:val="a5"/>
              <w:ind w:left="-73"/>
              <w:jc w:val="both"/>
              <w:rPr>
                <w:lang w:eastAsia="ru-RU"/>
              </w:rPr>
            </w:pPr>
            <w:r w:rsidRPr="001F6ECF">
              <w:rPr>
                <w:lang w:eastAsia="ru-RU"/>
              </w:rPr>
              <w:t>ходе профилактического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визита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Комитет</w:t>
            </w:r>
            <w:r w:rsidR="00F53210">
              <w:rPr>
                <w:lang w:eastAsia="ru-RU"/>
              </w:rPr>
              <w:t>ом</w:t>
            </w:r>
            <w:r w:rsidRPr="001F6ECF">
              <w:rPr>
                <w:lang w:eastAsia="ru-RU"/>
              </w:rPr>
              <w:t xml:space="preserve"> может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осуществляться</w:t>
            </w:r>
            <w:r>
              <w:rPr>
                <w:lang w:eastAsia="ru-RU"/>
              </w:rPr>
              <w:t xml:space="preserve"> </w:t>
            </w:r>
            <w:r w:rsidRPr="001F6ECF">
              <w:rPr>
                <w:lang w:eastAsia="ru-RU"/>
              </w:rPr>
              <w:t>консультирование.</w:t>
            </w:r>
            <w:r>
              <w:rPr>
                <w:lang w:eastAsia="ru-RU"/>
              </w:rPr>
              <w:t>)</w:t>
            </w:r>
          </w:p>
          <w:p w:rsidR="00332493" w:rsidRPr="001F6ECF" w:rsidRDefault="00332493" w:rsidP="001F6ECF">
            <w:pPr>
              <w:pStyle w:val="a5"/>
              <w:ind w:left="-73"/>
              <w:jc w:val="both"/>
              <w:rPr>
                <w:lang w:eastAsia="ru-RU"/>
              </w:rPr>
            </w:pPr>
          </w:p>
          <w:p w:rsidR="00332493" w:rsidRPr="001F6ECF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332493" w:rsidRPr="00FB5853" w:rsidRDefault="00332493" w:rsidP="00111FF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332493" w:rsidRPr="00FB5853" w:rsidRDefault="00332493" w:rsidP="00111FF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332493" w:rsidRPr="00FB5853" w:rsidTr="008464BB">
        <w:trPr>
          <w:trHeight w:val="188"/>
        </w:trPr>
        <w:tc>
          <w:tcPr>
            <w:tcW w:w="720" w:type="dxa"/>
          </w:tcPr>
          <w:p w:rsidR="00332493" w:rsidRPr="00FB5853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20" w:type="dxa"/>
          </w:tcPr>
          <w:p w:rsidR="00332493" w:rsidRPr="00FB5853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</w:t>
            </w:r>
          </w:p>
          <w:p w:rsidR="00332493" w:rsidRPr="00FB5853" w:rsidRDefault="00332493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«Мухоршибирский район»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90" w:type="dxa"/>
          </w:tcPr>
          <w:p w:rsidR="00332493" w:rsidRPr="00FB5853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:rsidR="00332493" w:rsidRPr="00FB5853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32493" w:rsidRPr="00FB5853" w:rsidRDefault="00332493" w:rsidP="0076200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32493" w:rsidRPr="00FB5853" w:rsidRDefault="00332493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</w:tbl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Раздел 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IV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Показатели результативности и эффективности </w:t>
      </w:r>
      <w:proofErr w:type="gramStart"/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программы профилактики рисков причинения вреда</w:t>
      </w:r>
      <w:proofErr w:type="gramEnd"/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«Мухоршибирский район».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Перечень уполномоченных лиц, ответственных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координацию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проведение профилактических мероприятий Программы на 202</w:t>
      </w:r>
      <w:r w:rsidR="0033249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приведен в таблице № 2. 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Текущее управление и </w:t>
      </w:r>
      <w:proofErr w:type="gramStart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ходом реализации Программы осуществляет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12717E">
        <w:rPr>
          <w:rFonts w:ascii="Times New Roman" w:hAnsi="Times New Roman" w:cs="Times New Roman"/>
          <w:color w:val="000000"/>
          <w:sz w:val="26"/>
          <w:szCs w:val="26"/>
        </w:rPr>
        <w:t>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Ответственным исполнителем Программы является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12717E">
        <w:rPr>
          <w:rFonts w:ascii="Times New Roman" w:hAnsi="Times New Roman" w:cs="Times New Roman"/>
          <w:color w:val="000000"/>
          <w:sz w:val="26"/>
          <w:szCs w:val="26"/>
        </w:rPr>
        <w:t>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реализации Программы осуществляется на регулярной основе.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«Мухоршибирский район»</w:t>
      </w:r>
      <w:r w:rsidRPr="001D66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717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1271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271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717E">
          <w:rPr>
            <w:rStyle w:val="a3"/>
            <w:rFonts w:ascii="Times New Roman" w:hAnsi="Times New Roman" w:cs="Times New Roman"/>
            <w:sz w:val="28"/>
            <w:szCs w:val="28"/>
          </w:rPr>
          <w:t>мухоршибирский-район.рф</w:t>
        </w:r>
        <w:proofErr w:type="spellEnd"/>
      </w:hyperlink>
      <w:r w:rsidRPr="0012717E">
        <w:rPr>
          <w:rFonts w:ascii="Times New Roman" w:hAnsi="Times New Roman" w:cs="Times New Roman"/>
          <w:sz w:val="28"/>
          <w:szCs w:val="28"/>
        </w:rPr>
        <w:t>)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информационно-коммуникационной сети «Интернет».</w:t>
      </w:r>
    </w:p>
    <w:p w:rsidR="00A04477" w:rsidRPr="001D66D8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D66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Таблица№</w:t>
      </w:r>
      <w:proofErr w:type="spellEnd"/>
      <w:r w:rsidRPr="001D66D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A04477" w:rsidRPr="00FB5853" w:rsidTr="008464BB">
        <w:trPr>
          <w:trHeight w:val="414"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A04477" w:rsidRPr="00FB5853" w:rsidTr="008464BB">
        <w:trPr>
          <w:trHeight w:val="1472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Игорь Васильевич</w:t>
            </w:r>
          </w:p>
        </w:tc>
        <w:tc>
          <w:tcPr>
            <w:tcW w:w="2268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Комитета </w:t>
            </w:r>
          </w:p>
        </w:tc>
        <w:tc>
          <w:tcPr>
            <w:tcW w:w="1985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реализации Программы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21186</w:t>
            </w:r>
          </w:p>
        </w:tc>
      </w:tr>
      <w:tr w:rsidR="00A04477" w:rsidRPr="00FB5853" w:rsidTr="008464BB">
        <w:trPr>
          <w:trHeight w:val="1539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Екатерина Васильевна</w:t>
            </w:r>
          </w:p>
        </w:tc>
        <w:tc>
          <w:tcPr>
            <w:tcW w:w="2268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985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реализации Программы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21534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4477" w:rsidRPr="00FB5853" w:rsidTr="008464BB">
        <w:trPr>
          <w:trHeight w:val="1539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9" w:type="dxa"/>
            <w:vAlign w:val="center"/>
          </w:tcPr>
          <w:p w:rsidR="00A04477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Ануфриева Александра Александровна</w:t>
            </w:r>
          </w:p>
        </w:tc>
        <w:tc>
          <w:tcPr>
            <w:tcW w:w="2268" w:type="dxa"/>
            <w:vAlign w:val="center"/>
          </w:tcPr>
          <w:p w:rsidR="00A04477" w:rsidRDefault="00762006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Инспектор-</w:t>
            </w:r>
            <w:r w:rsidR="00A04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по земельным вопросам</w:t>
            </w:r>
          </w:p>
        </w:tc>
        <w:tc>
          <w:tcPr>
            <w:tcW w:w="1985" w:type="dxa"/>
            <w:vAlign w:val="center"/>
          </w:tcPr>
          <w:p w:rsidR="00A04477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21534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Целевые показатели результативности мероприятий Программы по муниципальному земельному контролю: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Количество выявленных нарушений требований земельного законодательства, шт.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эффективности:</w:t>
      </w:r>
    </w:p>
    <w:p w:rsidR="00A04477" w:rsidRPr="00FB5853" w:rsidRDefault="00A04477" w:rsidP="00A044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A04477" w:rsidRPr="00FB5853" w:rsidRDefault="00A04477" w:rsidP="00A044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контрольным (надзорным) органом, ед.</w:t>
      </w:r>
    </w:p>
    <w:p w:rsidR="00A04477" w:rsidRPr="00FB5853" w:rsidRDefault="00A04477" w:rsidP="00A044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Доля профилактических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в объеме контрольн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мероприятий, %.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рассчитывается как отношение количества проведенных профилактических мероприятий к количест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 проведенных контроль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определения значений показателей является календарный год.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A04477" w:rsidRPr="00DD1494" w:rsidRDefault="00A04477" w:rsidP="00A04477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1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Таблица№3</w:t>
      </w:r>
    </w:p>
    <w:tbl>
      <w:tblPr>
        <w:tblW w:w="10035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955"/>
        <w:gridCol w:w="880"/>
        <w:gridCol w:w="1530"/>
        <w:gridCol w:w="567"/>
        <w:gridCol w:w="1275"/>
        <w:gridCol w:w="1276"/>
        <w:gridCol w:w="2126"/>
      </w:tblGrid>
      <w:tr w:rsidR="00A04477" w:rsidRPr="00FB5853" w:rsidTr="008464B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</w:t>
            </w:r>
            <w:proofErr w:type="spell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6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</w:tr>
      <w:tr w:rsidR="00A04477" w:rsidRPr="00FB5853" w:rsidTr="008464BB">
        <w:trPr>
          <w:trHeight w:val="11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Наименование показателя</w:t>
            </w:r>
            <w:proofErr w:type="gram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ед. </w:t>
            </w:r>
            <w:proofErr w:type="spell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изм</w:t>
            </w:r>
            <w:proofErr w:type="spellEnd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Фактическое значе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Отклонение, </w:t>
            </w:r>
          </w:p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(-/+, %)</w:t>
            </w:r>
          </w:p>
        </w:tc>
      </w:tr>
      <w:tr w:rsidR="00A04477" w:rsidRPr="00FB5853" w:rsidTr="008464BB">
        <w:trPr>
          <w:trHeight w:val="3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widowControl w:val="0"/>
              <w:suppressAutoHyphens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(План)</w:t>
            </w:r>
          </w:p>
          <w:p w:rsidR="00A04477" w:rsidRPr="00DD1494" w:rsidRDefault="00A04477" w:rsidP="008464BB">
            <w:pPr>
              <w:widowControl w:val="0"/>
              <w:suppressAutoHyphens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«Профилактика рисков причинения вреда (ущерба) охраняемым законом ценностям по муниципальному земельному контролю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</w:t>
            </w:r>
          </w:p>
          <w:p w:rsidR="00A04477" w:rsidRPr="00DD1494" w:rsidRDefault="00A04477" w:rsidP="00762006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«Мухоршибирский район»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202</w:t>
            </w:r>
            <w:r w:rsidR="0076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762006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</w:t>
            </w:r>
            <w:r w:rsidR="0076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LineNumbers/>
              <w:suppressAutoHyphens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A04477" w:rsidRPr="00DD1494" w:rsidRDefault="00A04477" w:rsidP="008464BB">
            <w:pPr>
              <w:suppressLineNumbers/>
              <w:suppressAutoHyphens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</w:t>
            </w:r>
          </w:p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A04477" w:rsidRDefault="00A04477" w:rsidP="00A04477"/>
    <w:p w:rsidR="00A4080B" w:rsidRDefault="00F53210" w:rsidP="00A04477">
      <w:pPr>
        <w:widowControl w:val="0"/>
        <w:suppressAutoHyphens/>
        <w:autoSpaceDE w:val="0"/>
        <w:autoSpaceDN w:val="0"/>
        <w:spacing w:after="0" w:line="240" w:lineRule="auto"/>
        <w:jc w:val="center"/>
      </w:pPr>
    </w:p>
    <w:sectPr w:rsidR="00A4080B" w:rsidSect="00DD14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B40"/>
    <w:rsid w:val="000C529E"/>
    <w:rsid w:val="000D183A"/>
    <w:rsid w:val="000F7285"/>
    <w:rsid w:val="0012717E"/>
    <w:rsid w:val="001802BD"/>
    <w:rsid w:val="00183B57"/>
    <w:rsid w:val="001A1CBA"/>
    <w:rsid w:val="001B4320"/>
    <w:rsid w:val="001D66D8"/>
    <w:rsid w:val="001F674C"/>
    <w:rsid w:val="001F6ECF"/>
    <w:rsid w:val="002569E8"/>
    <w:rsid w:val="00262A7D"/>
    <w:rsid w:val="00267A45"/>
    <w:rsid w:val="00294DB2"/>
    <w:rsid w:val="002F03E5"/>
    <w:rsid w:val="00331E5C"/>
    <w:rsid w:val="00332493"/>
    <w:rsid w:val="00343B8D"/>
    <w:rsid w:val="00364980"/>
    <w:rsid w:val="003761C1"/>
    <w:rsid w:val="003F3A42"/>
    <w:rsid w:val="003F44A0"/>
    <w:rsid w:val="00407256"/>
    <w:rsid w:val="004A7022"/>
    <w:rsid w:val="005570CE"/>
    <w:rsid w:val="00565794"/>
    <w:rsid w:val="005E6903"/>
    <w:rsid w:val="00625759"/>
    <w:rsid w:val="00657479"/>
    <w:rsid w:val="006E3506"/>
    <w:rsid w:val="00713D4A"/>
    <w:rsid w:val="007445D1"/>
    <w:rsid w:val="00762006"/>
    <w:rsid w:val="007779B9"/>
    <w:rsid w:val="00780CB0"/>
    <w:rsid w:val="007C3992"/>
    <w:rsid w:val="007D4F96"/>
    <w:rsid w:val="007F5836"/>
    <w:rsid w:val="00834A34"/>
    <w:rsid w:val="008605D4"/>
    <w:rsid w:val="0086453D"/>
    <w:rsid w:val="008F47C8"/>
    <w:rsid w:val="009F7EF2"/>
    <w:rsid w:val="00A04477"/>
    <w:rsid w:val="00A12673"/>
    <w:rsid w:val="00B10DED"/>
    <w:rsid w:val="00B5760C"/>
    <w:rsid w:val="00C14D8E"/>
    <w:rsid w:val="00C54D71"/>
    <w:rsid w:val="00C632FD"/>
    <w:rsid w:val="00DA7C4E"/>
    <w:rsid w:val="00DD1494"/>
    <w:rsid w:val="00E2248E"/>
    <w:rsid w:val="00E33FD3"/>
    <w:rsid w:val="00E34B40"/>
    <w:rsid w:val="00E7151C"/>
    <w:rsid w:val="00E91A8A"/>
    <w:rsid w:val="00F03560"/>
    <w:rsid w:val="00F42061"/>
    <w:rsid w:val="00F53210"/>
    <w:rsid w:val="00FB2605"/>
    <w:rsid w:val="00FB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1"/>
  </w:style>
  <w:style w:type="paragraph" w:styleId="2">
    <w:name w:val="heading 2"/>
    <w:basedOn w:val="a"/>
    <w:link w:val="20"/>
    <w:uiPriority w:val="9"/>
    <w:qFormat/>
    <w:rsid w:val="00E34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4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3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34B40"/>
    <w:rPr>
      <w:color w:val="0000FF"/>
      <w:u w:val="single"/>
    </w:rPr>
  </w:style>
  <w:style w:type="paragraph" w:customStyle="1" w:styleId="ConsPlusTitle">
    <w:name w:val="ConsPlusTitle"/>
    <w:rsid w:val="00E33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1B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79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4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Гуруев Геннадий Олегович</dc:creator>
  <cp:keywords/>
  <dc:description/>
  <cp:lastModifiedBy>Пользователь Windows</cp:lastModifiedBy>
  <cp:revision>25</cp:revision>
  <cp:lastPrinted>2025-12-26T03:50:00Z</cp:lastPrinted>
  <dcterms:created xsi:type="dcterms:W3CDTF">2021-10-13T07:58:00Z</dcterms:created>
  <dcterms:modified xsi:type="dcterms:W3CDTF">2025-12-26T03:55:00Z</dcterms:modified>
</cp:coreProperties>
</file>