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CB0" w:rsidRPr="00C358D4" w:rsidRDefault="00780CB0" w:rsidP="00780CB0">
      <w:pPr>
        <w:pStyle w:val="a5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358D4">
        <w:rPr>
          <w:rFonts w:ascii="Times New Roman" w:hAnsi="Times New Roman" w:cs="Times New Roman"/>
          <w:sz w:val="28"/>
          <w:szCs w:val="28"/>
        </w:rPr>
        <w:t>УТВЕРЖДАЮ</w:t>
      </w:r>
    </w:p>
    <w:p w:rsidR="00780CB0" w:rsidRPr="00C358D4" w:rsidRDefault="00780CB0" w:rsidP="00780CB0">
      <w:pPr>
        <w:pStyle w:val="a5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358D4"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780CB0" w:rsidRDefault="00780CB0" w:rsidP="00780CB0">
      <w:pPr>
        <w:pStyle w:val="a5"/>
        <w:ind w:left="0"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358D4">
        <w:rPr>
          <w:rFonts w:ascii="Times New Roman" w:hAnsi="Times New Roman" w:cs="Times New Roman"/>
          <w:sz w:val="28"/>
          <w:szCs w:val="28"/>
        </w:rPr>
        <w:t>И.В. Тимофеев</w:t>
      </w:r>
    </w:p>
    <w:p w:rsidR="00780CB0" w:rsidRDefault="00861DE6" w:rsidP="00780CB0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80CB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18.12.2024г. №43</w:t>
      </w:r>
    </w:p>
    <w:p w:rsidR="00780CB0" w:rsidRDefault="00780CB0" w:rsidP="00780CB0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ПРОГРАММА (ПЛАН)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границах муниципального образования «Мухоршибирский район» 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5 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год</w:t>
      </w:r>
    </w:p>
    <w:p w:rsidR="00A04477" w:rsidRPr="00FB5853" w:rsidRDefault="00A04477" w:rsidP="00A044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I.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(ущерба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)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proofErr w:type="gramEnd"/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храняемым законом ценностям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3761C1" w:rsidRDefault="00A04477" w:rsidP="00A0447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3761C1">
        <w:rPr>
          <w:rFonts w:ascii="Times New Roman" w:hAnsi="Times New Roman" w:cs="Times New Roman"/>
          <w:b w:val="0"/>
          <w:bCs/>
          <w:color w:val="000000"/>
          <w:sz w:val="26"/>
          <w:szCs w:val="26"/>
        </w:rPr>
        <w:t xml:space="preserve"> </w:t>
      </w:r>
      <w:r w:rsidRPr="003761C1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соответствии с 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 xml:space="preserve">Положением о муниципальном земельном контроле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границах муниципального образования «Мухоршибирский район» 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>(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далее – Положение), утвержденным решением Совета депутатов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муниципального образования «Мухоршибирский район» 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30 сентября 2021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г.  №</w:t>
      </w: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120</w:t>
      </w:r>
      <w:r w:rsidRPr="001802BD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, осуществляет муниципальный земельн</w:t>
      </w:r>
      <w:r w:rsidRPr="003761C1">
        <w:rPr>
          <w:rFonts w:ascii="Times New Roman" w:hAnsi="Times New Roman" w:cs="Times New Roman"/>
          <w:b w:val="0"/>
          <w:color w:val="000000"/>
          <w:sz w:val="26"/>
          <w:szCs w:val="26"/>
        </w:rPr>
        <w:t>ый контроль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 границах 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муниципального образования «Мухоршибирский район»</w:t>
      </w:r>
      <w:r w:rsidRPr="003761C1">
        <w:rPr>
          <w:rFonts w:ascii="Times New Roman" w:hAnsi="Times New Roman" w:cs="Times New Roman"/>
          <w:b w:val="0"/>
          <w:sz w:val="26"/>
          <w:szCs w:val="26"/>
        </w:rPr>
        <w:t>.</w:t>
      </w:r>
      <w:proofErr w:type="gramEnd"/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Объектами 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земельного </w:t>
      </w: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являются:</w:t>
      </w:r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 земельного законодательства, в том числе предъявляемые к контролируемым лицам, осуществляющим деятельность, действия (бездействие);</w:t>
      </w:r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здания, помещения, сооружения, линейные объекты, территории, включая земельные участки и другие объекты, которыми контролируемые лица владеют и (или) пользуются и к которым предъявляются обязательные требования земельного законодательства (далее - производственные объекты).</w:t>
      </w:r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Под контролируемыми лицами при осуществлении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земельного 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контроля понимаются граждане и организации, указанные в статье 31 Федерального закона от 31.07.2020 № 248-ФЗ "О государственном контроле (надзоре) и муниципальном контроле в Российской Федерации", деятельность, действия или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деятельности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которых, либо производственные объекты, находящиеся во владении и (или) в пользовании которых, подлежат муниципальному контролю.</w:t>
      </w:r>
      <w:proofErr w:type="gramEnd"/>
    </w:p>
    <w:p w:rsidR="00A04477" w:rsidRPr="003761C1" w:rsidRDefault="00A04477" w:rsidP="00A044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Предметом муниципального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земельного 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проверки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являются: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Решением данной проблемы является активное проведение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лжностными лицами контрольного 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Сознательное бездействие правообладателей земельных участков. </w:t>
      </w:r>
    </w:p>
    <w:p w:rsidR="00A04477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ридически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лица, индивидуальны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3761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предприниматели, граждан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сознательно без разрешительной документации занимаются самовольным занятием участков.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Выявить таких правообладателей и провести с ними профилактические мероприятия, как правило, </w:t>
      </w:r>
      <w:proofErr w:type="gramStart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возможно</w:t>
      </w:r>
      <w:proofErr w:type="gramEnd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 при проведении контроль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решения данной проблемы может быть организация первостепенной профилактической работы (мероприятий) с новыми правообладателями земельных участков на основе сведений, полученных от органа, осуществляющего государственную регистрацию прав на недвижимое имущество и сделок с ним, о государственной регистрации перехода прав на земельные участки, в отношении которых в Едином государственном реестре недвижимости содержатся сведения о результатах проведения государственного земельного надзора, указывающие на</w:t>
      </w:r>
      <w:proofErr w:type="gramEnd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неиспользование такого земельного участка по целевому назначению или использование с нарушением законодательства Российской Федерации.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Раздел II. Цели и задачи </w:t>
      </w:r>
      <w:proofErr w:type="gramStart"/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реализации программы профилактики рисков причинения вреда</w:t>
      </w:r>
      <w:proofErr w:type="gramEnd"/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Цели разработки Программы и проведение профилактической работы: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Cs/>
          <w:color w:val="000000"/>
          <w:kern w:val="24"/>
          <w:sz w:val="26"/>
          <w:szCs w:val="26"/>
          <w:lang w:eastAsia="ru-RU"/>
        </w:rPr>
        <w:tab/>
        <w:t xml:space="preserve">- 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прозрачности системы муниципального контроля;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мотивация подконтрольных субъектов к добросовестному поведению.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Проведение профилактических мероприятий Программы позволяет решить следующие задачи: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- выявление причин, факторов и условий, способствующих причинению вреда (ущерба) охраняемым законом ценностям и нарушению обязательных 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требований, определение способов устранения или снижения рисков их возникновения;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повышение квалификации кадрового состава контрольно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органа;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:rsidR="00A04477" w:rsidRPr="00FB5853" w:rsidRDefault="00A04477" w:rsidP="00A04477">
      <w:pPr>
        <w:suppressAutoHyphens/>
        <w:spacing w:after="0" w:line="240" w:lineRule="auto"/>
        <w:ind w:left="5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Сроки реализации Программы приведены в перечне основных профилактических мероприятий на 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  <w:bookmarkStart w:id="0" w:name="_GoBack"/>
      <w:bookmarkEnd w:id="0"/>
    </w:p>
    <w:p w:rsidR="00A04477" w:rsidRPr="00FB5853" w:rsidRDefault="00A04477" w:rsidP="00A04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Раздел III. Перечень профилактических мероприятий, сроки (периодичность) их проведения</w:t>
      </w:r>
    </w:p>
    <w:p w:rsidR="00A04477" w:rsidRPr="00FB5853" w:rsidRDefault="00A04477" w:rsidP="00A04477">
      <w:p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</w:pP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основных профилактических мероприятий Программы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приведен в таблице №1. </w:t>
      </w:r>
    </w:p>
    <w:p w:rsidR="00A04477" w:rsidRPr="00FB5853" w:rsidRDefault="00A04477" w:rsidP="00A044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B5853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Таблица № 1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0"/>
          <w:szCs w:val="20"/>
          <w:lang w:val="en-US"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A04477" w:rsidRPr="00FB5853" w:rsidTr="008464BB"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мероприятия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проведения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Адресат мероприятия</w:t>
            </w:r>
          </w:p>
        </w:tc>
      </w:tr>
    </w:tbl>
    <w:p w:rsidR="00A04477" w:rsidRPr="00FB5853" w:rsidRDefault="00A04477" w:rsidP="00A0447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ar-SA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320"/>
        <w:gridCol w:w="2190"/>
        <w:gridCol w:w="2409"/>
      </w:tblGrid>
      <w:tr w:rsidR="00A04477" w:rsidRPr="00FB5853" w:rsidTr="008464BB">
        <w:trPr>
          <w:trHeight w:val="28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04477" w:rsidRPr="00FB5853" w:rsidTr="008464BB">
        <w:tc>
          <w:tcPr>
            <w:tcW w:w="720" w:type="dxa"/>
            <w:vMerge w:val="restart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Мухоршибирский район»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актуальной информации: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c>
          <w:tcPr>
            <w:tcW w:w="720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тексты нормативных правовых актов, регулирующих осуществление муниципального земельного контроля;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A04477" w:rsidRPr="00FB5853" w:rsidTr="008464BB"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560A0B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A04477" w:rsidRPr="00FB58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перечень</w:t>
              </w:r>
            </w:hyperlink>
            <w:r w:rsidR="00A04477"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327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индикаторов риска нарушения обязательных требований, порядок отнесения объектов контроля к категориям риска;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3 рабочих дней после утверждения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116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контроля, учитываемых в рамках формировани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ежегодного плана контрольных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мероприятий, с указанием категории риска;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10 рабочих дней после утверждения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216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389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способах получения консультаций по вопросам соблюдения обязательных требований;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</w:tr>
      <w:tr w:rsidR="00A04477" w:rsidRPr="00FB5853" w:rsidTr="008464BB">
        <w:trPr>
          <w:trHeight w:val="2216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порядке досудебного обжалования решений контрольного органа, действий (бездействия) его должностных лиц;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г, поддерживать в актуальном состоянии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128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доклады, содержащие результаты обобщения правоприменительной практики контрольного органа;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срок до 3 дней со дня утверждения доклада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периодичностью, не реже одного раза в год)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114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ежегодный доклад о муниципальном земельном контроле;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 до 3 дней со дня утверждения доклада (не позднее 15 марта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г.)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880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440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 профилактики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(проект Программы для общественного обсуждения);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5 дней со дня утверждения (утвержденной Программы)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40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Ежегодных планов проведения плановых контрольных (надзорных) мероприятий по муниципальному земельному контролю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5 рабочих дней со дня их утверждения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 15 декабря года, предшествующего году реализации ежегодного плана)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204"/>
        </w:trPr>
        <w:tc>
          <w:tcPr>
            <w:tcW w:w="720" w:type="dxa"/>
            <w:vMerge w:val="restart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посредством: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153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публикаций в средствах массовой информации;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63"/>
        </w:trPr>
        <w:tc>
          <w:tcPr>
            <w:tcW w:w="720" w:type="dxa"/>
            <w:vMerge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публикаций на официальном сайте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«Мухоршибирский район»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216"/>
        </w:trPr>
        <w:tc>
          <w:tcPr>
            <w:tcW w:w="7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контрольным органом правоприменительной практики осуществления муниципального земельного контроля в части компетенции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ежегодно, не позднее 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июля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076"/>
        </w:trPr>
        <w:tc>
          <w:tcPr>
            <w:tcW w:w="7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российским законодательством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2856"/>
        </w:trPr>
        <w:tc>
          <w:tcPr>
            <w:tcW w:w="7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должностным лицом контрольного органа (по телефону, посредством </w:t>
            </w:r>
            <w:proofErr w:type="spell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личном приеме либо в ходе проведения профилактического мероприятия, контрольного мероприятия)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вопросам, связанным с организацией и осуществлением муниципального земельного контроля в отношении контролируемых лиц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  <w:tr w:rsidR="00A04477" w:rsidRPr="00FB5853" w:rsidTr="008464BB">
        <w:trPr>
          <w:trHeight w:val="188"/>
        </w:trPr>
        <w:tc>
          <w:tcPr>
            <w:tcW w:w="7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32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и утверждение Программы (Плана) профилактики рисков причинения вреда (ущерба) охраняемым законом ценностям по муниципальному земельному контролю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границах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«Мухоршибирский район» 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90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октября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(разработка);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позднее 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декабря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(утверждение)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лица, индивидуальные предприниматели, граждане, органы местного самоуправления</w:t>
            </w:r>
          </w:p>
        </w:tc>
      </w:tr>
    </w:tbl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Раздел 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IV</w:t>
      </w:r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. Показатели результативности и эффективности </w:t>
      </w:r>
      <w:proofErr w:type="gramStart"/>
      <w:r w:rsidRPr="00FB585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программы профилактики рисков причинения вреда</w:t>
      </w:r>
      <w:proofErr w:type="gramEnd"/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«Мухоршибирский район».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Перечень уполномоченных лиц, ответственных 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координацию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проведение профилактических мероприятий Программы на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приведен в таблице № 2. 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Текущее управление и </w:t>
      </w:r>
      <w:proofErr w:type="gramStart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ходом реализации Программы осуществляет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12717E">
        <w:rPr>
          <w:rFonts w:ascii="Times New Roman" w:hAnsi="Times New Roman" w:cs="Times New Roman"/>
          <w:color w:val="000000"/>
          <w:sz w:val="26"/>
          <w:szCs w:val="26"/>
        </w:rPr>
        <w:t>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Ответственным исполнителем Программы является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r w:rsidRPr="0012717E">
        <w:rPr>
          <w:rFonts w:ascii="Times New Roman" w:hAnsi="Times New Roman" w:cs="Times New Roman"/>
          <w:color w:val="000000"/>
          <w:sz w:val="26"/>
          <w:szCs w:val="26"/>
        </w:rPr>
        <w:t>униципальное учреждение «Комитет по управлению имуществом и муниципальным хозяйством муниципального образования «Мухоршибирский район»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Мониторинг реализации Программы осуществляется на регулярной основе.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Результаты профилактической работы включаются в ежегодные доклады об осуществлении муниципального земельного контроля и в виде отдельного информационного сообщения размещаются на официальном сайте муниципального образования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«Мухоршибирский район»</w:t>
      </w:r>
      <w:r w:rsidRPr="001D66D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717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1271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271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2717E">
          <w:rPr>
            <w:rStyle w:val="a3"/>
            <w:rFonts w:ascii="Times New Roman" w:hAnsi="Times New Roman" w:cs="Times New Roman"/>
            <w:sz w:val="28"/>
            <w:szCs w:val="28"/>
          </w:rPr>
          <w:t>мухоршибирский-район.рф</w:t>
        </w:r>
        <w:proofErr w:type="spellEnd"/>
      </w:hyperlink>
      <w:r w:rsidRPr="0012717E">
        <w:rPr>
          <w:rFonts w:ascii="Times New Roman" w:hAnsi="Times New Roman" w:cs="Times New Roman"/>
          <w:sz w:val="28"/>
          <w:szCs w:val="28"/>
        </w:rPr>
        <w:t>)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информационно-коммуникационной сети «Интернет».</w:t>
      </w:r>
    </w:p>
    <w:p w:rsidR="00A04477" w:rsidRPr="001D66D8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spellStart"/>
      <w:r w:rsidRPr="001D66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Таблица№</w:t>
      </w:r>
      <w:proofErr w:type="spellEnd"/>
      <w:r w:rsidRPr="001D66D8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2</w:t>
      </w:r>
    </w:p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US"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2319"/>
        <w:gridCol w:w="2268"/>
        <w:gridCol w:w="1985"/>
        <w:gridCol w:w="2409"/>
      </w:tblGrid>
      <w:tr w:rsidR="00A04477" w:rsidRPr="00FB5853" w:rsidTr="008464BB">
        <w:trPr>
          <w:trHeight w:val="414"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1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</w:t>
            </w:r>
          </w:p>
        </w:tc>
      </w:tr>
      <w:tr w:rsidR="00A04477" w:rsidRPr="00FB5853" w:rsidTr="008464BB">
        <w:trPr>
          <w:trHeight w:val="1472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1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Тимофеев Игорь Васильевич</w:t>
            </w:r>
          </w:p>
        </w:tc>
        <w:tc>
          <w:tcPr>
            <w:tcW w:w="2268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Комитета </w:t>
            </w:r>
          </w:p>
        </w:tc>
        <w:tc>
          <w:tcPr>
            <w:tcW w:w="1985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реализации Программы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21186</w:t>
            </w:r>
          </w:p>
        </w:tc>
      </w:tr>
      <w:tr w:rsidR="00A04477" w:rsidRPr="00FB5853" w:rsidTr="008464BB">
        <w:trPr>
          <w:trHeight w:val="1539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Екатерина Васильевна</w:t>
            </w:r>
          </w:p>
        </w:tc>
        <w:tc>
          <w:tcPr>
            <w:tcW w:w="2268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1985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реализации Программы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21534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04477" w:rsidRPr="00FB5853" w:rsidTr="008464BB">
        <w:trPr>
          <w:trHeight w:val="1539"/>
          <w:tblHeader/>
        </w:trPr>
        <w:tc>
          <w:tcPr>
            <w:tcW w:w="720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 </w:t>
            </w:r>
          </w:p>
        </w:tc>
        <w:tc>
          <w:tcPr>
            <w:tcW w:w="2319" w:type="dxa"/>
            <w:vAlign w:val="center"/>
          </w:tcPr>
          <w:p w:rsidR="00A04477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Ануфриева Александра Александровна</w:t>
            </w:r>
          </w:p>
        </w:tc>
        <w:tc>
          <w:tcPr>
            <w:tcW w:w="2268" w:type="dxa"/>
            <w:vAlign w:val="center"/>
          </w:tcPr>
          <w:p w:rsidR="00A04477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Консультант по земельным вопросам</w:t>
            </w:r>
          </w:p>
        </w:tc>
        <w:tc>
          <w:tcPr>
            <w:tcW w:w="1985" w:type="dxa"/>
            <w:vAlign w:val="center"/>
          </w:tcPr>
          <w:p w:rsidR="00A04477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30143</w:t>
            </w:r>
            <w:r w:rsidRPr="00FB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21534</w:t>
            </w:r>
          </w:p>
          <w:p w:rsidR="00A04477" w:rsidRPr="00FB5853" w:rsidRDefault="00A04477" w:rsidP="008464BB">
            <w:pPr>
              <w:widowControl w:val="0"/>
              <w:suppressAutoHyphens/>
              <w:autoSpaceDE w:val="0"/>
              <w:autoSpaceDN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4477" w:rsidRPr="00FB5853" w:rsidRDefault="00A04477" w:rsidP="00A04477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  <w:lang w:eastAsia="ru-RU"/>
        </w:rPr>
      </w:pP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Целевые показатели результативности мероприятий Программы по муниципальному земельному контролю: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1) Количество выявленных нарушений требований земельного законодательства, шт.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Показатели эффективности:</w:t>
      </w:r>
    </w:p>
    <w:p w:rsidR="00A04477" w:rsidRPr="00FB5853" w:rsidRDefault="00A04477" w:rsidP="00A044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1) Снижение количества выявленных при проведении контрольно-надзорных мероприятий нарушений требований земельного законодательства.</w:t>
      </w:r>
    </w:p>
    <w:p w:rsidR="00A04477" w:rsidRPr="00FB5853" w:rsidRDefault="00A04477" w:rsidP="00A044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2) Количество проведенных профилактических мероприятий контрольным (надзорным) органом, ед.</w:t>
      </w:r>
    </w:p>
    <w:p w:rsidR="00A04477" w:rsidRPr="00FB5853" w:rsidRDefault="00A04477" w:rsidP="00A044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3) Доля профилактических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в объеме контрольн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ых мероприятий, %.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Показатель рассчитывается как отношение количества проведенных профилактических мероприятий к количест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ву проведенных контроль</w:t>
      </w: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мероприятий.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Отчетным периодом для определения значений показателей является календарный год.</w:t>
      </w:r>
    </w:p>
    <w:p w:rsidR="00A04477" w:rsidRPr="00FB5853" w:rsidRDefault="00A04477" w:rsidP="00A044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585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земельного контроля.</w:t>
      </w:r>
    </w:p>
    <w:p w:rsidR="00A04477" w:rsidRPr="00DD1494" w:rsidRDefault="00A04477" w:rsidP="00A04477">
      <w:pPr>
        <w:widowControl w:val="0"/>
        <w:suppressAutoHyphens/>
        <w:autoSpaceDE w:val="0"/>
        <w:autoSpaceDN w:val="0"/>
        <w:spacing w:after="0" w:line="240" w:lineRule="auto"/>
        <w:ind w:right="-273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14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Таблица№3</w:t>
      </w:r>
    </w:p>
    <w:tbl>
      <w:tblPr>
        <w:tblW w:w="10035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955"/>
        <w:gridCol w:w="880"/>
        <w:gridCol w:w="1530"/>
        <w:gridCol w:w="567"/>
        <w:gridCol w:w="1275"/>
        <w:gridCol w:w="1276"/>
        <w:gridCol w:w="2126"/>
      </w:tblGrid>
      <w:tr w:rsidR="00A04477" w:rsidRPr="00FB5853" w:rsidTr="008464B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/</w:t>
            </w:r>
            <w:proofErr w:type="spell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Наименование мероприятия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Сроки исполнения</w:t>
            </w:r>
          </w:p>
        </w:tc>
        <w:tc>
          <w:tcPr>
            <w:tcW w:w="6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Показатели результатов деятельности</w:t>
            </w:r>
          </w:p>
        </w:tc>
      </w:tr>
      <w:tr w:rsidR="00A04477" w:rsidRPr="00FB5853" w:rsidTr="008464BB">
        <w:trPr>
          <w:trHeight w:val="11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Наименование показателя</w:t>
            </w:r>
            <w:proofErr w:type="gram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ед. </w:t>
            </w:r>
            <w:proofErr w:type="spellStart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изм</w:t>
            </w:r>
            <w:proofErr w:type="spellEnd"/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Пла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новое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Фактическое значе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Отклонение, </w:t>
            </w:r>
          </w:p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(-/+, %)</w:t>
            </w:r>
          </w:p>
        </w:tc>
      </w:tr>
      <w:tr w:rsidR="00A04477" w:rsidRPr="00FB5853" w:rsidTr="008464BB">
        <w:trPr>
          <w:trHeight w:val="3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widowControl w:val="0"/>
              <w:suppressAutoHyphens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(План)</w:t>
            </w:r>
          </w:p>
          <w:p w:rsidR="00A04477" w:rsidRPr="00DD1494" w:rsidRDefault="00A04477" w:rsidP="008464BB">
            <w:pPr>
              <w:widowControl w:val="0"/>
              <w:suppressAutoHyphens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«Профилактика рисков причинения вреда (ущерба) охраняемым законом ценностям по муниципальному земельному контролю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границах</w:t>
            </w:r>
          </w:p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«Мухоршибирский район»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LineNumbers/>
              <w:suppressAutoHyphens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Выполнение запланированных мероприятий</w:t>
            </w:r>
          </w:p>
          <w:p w:rsidR="00A04477" w:rsidRPr="00DD1494" w:rsidRDefault="00A04477" w:rsidP="008464BB">
            <w:pPr>
              <w:suppressLineNumbers/>
              <w:suppressAutoHyphens/>
              <w:snapToGrid w:val="0"/>
              <w:spacing w:after="0" w:line="21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%</w:t>
            </w:r>
          </w:p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D14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77" w:rsidRPr="00DD1494" w:rsidRDefault="00A04477" w:rsidP="008464BB">
            <w:pPr>
              <w:suppressAutoHyphens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A04477" w:rsidRDefault="00A04477" w:rsidP="00A04477"/>
    <w:p w:rsidR="00A4080B" w:rsidRDefault="00861DE6" w:rsidP="00A04477">
      <w:pPr>
        <w:widowControl w:val="0"/>
        <w:suppressAutoHyphens/>
        <w:autoSpaceDE w:val="0"/>
        <w:autoSpaceDN w:val="0"/>
        <w:spacing w:after="0" w:line="240" w:lineRule="auto"/>
        <w:jc w:val="center"/>
      </w:pPr>
    </w:p>
    <w:sectPr w:rsidR="00A4080B" w:rsidSect="00DD149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B40"/>
    <w:rsid w:val="000C529E"/>
    <w:rsid w:val="000D183A"/>
    <w:rsid w:val="000F7285"/>
    <w:rsid w:val="0012717E"/>
    <w:rsid w:val="001802BD"/>
    <w:rsid w:val="00183B57"/>
    <w:rsid w:val="001A1CBA"/>
    <w:rsid w:val="001B4320"/>
    <w:rsid w:val="001D66D8"/>
    <w:rsid w:val="001F674C"/>
    <w:rsid w:val="00262A7D"/>
    <w:rsid w:val="00294DB2"/>
    <w:rsid w:val="002F03E5"/>
    <w:rsid w:val="00331E5C"/>
    <w:rsid w:val="00343B8D"/>
    <w:rsid w:val="00364980"/>
    <w:rsid w:val="003761C1"/>
    <w:rsid w:val="003F3A42"/>
    <w:rsid w:val="003F44A0"/>
    <w:rsid w:val="00407256"/>
    <w:rsid w:val="004A7022"/>
    <w:rsid w:val="005570CE"/>
    <w:rsid w:val="00560A0B"/>
    <w:rsid w:val="00565794"/>
    <w:rsid w:val="005E6903"/>
    <w:rsid w:val="00625759"/>
    <w:rsid w:val="00657479"/>
    <w:rsid w:val="006E3506"/>
    <w:rsid w:val="007445D1"/>
    <w:rsid w:val="007779B9"/>
    <w:rsid w:val="00780CB0"/>
    <w:rsid w:val="007C3992"/>
    <w:rsid w:val="007D4F96"/>
    <w:rsid w:val="007F5836"/>
    <w:rsid w:val="00834A34"/>
    <w:rsid w:val="008605D4"/>
    <w:rsid w:val="00861DE6"/>
    <w:rsid w:val="0086453D"/>
    <w:rsid w:val="008F47C8"/>
    <w:rsid w:val="009F7EF2"/>
    <w:rsid w:val="00A04477"/>
    <w:rsid w:val="00A12673"/>
    <w:rsid w:val="00B10DED"/>
    <w:rsid w:val="00B5760C"/>
    <w:rsid w:val="00C54D71"/>
    <w:rsid w:val="00C632FD"/>
    <w:rsid w:val="00DA7C4E"/>
    <w:rsid w:val="00DD1494"/>
    <w:rsid w:val="00E2248E"/>
    <w:rsid w:val="00E33FD3"/>
    <w:rsid w:val="00E34B40"/>
    <w:rsid w:val="00E7151C"/>
    <w:rsid w:val="00E91A8A"/>
    <w:rsid w:val="00F03560"/>
    <w:rsid w:val="00F42061"/>
    <w:rsid w:val="00FB5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5D1"/>
  </w:style>
  <w:style w:type="paragraph" w:styleId="2">
    <w:name w:val="heading 2"/>
    <w:basedOn w:val="a"/>
    <w:link w:val="20"/>
    <w:uiPriority w:val="9"/>
    <w:qFormat/>
    <w:rsid w:val="00E34B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4B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4B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4B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E3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34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34B40"/>
    <w:rPr>
      <w:color w:val="0000FF"/>
      <w:u w:val="single"/>
    </w:rPr>
  </w:style>
  <w:style w:type="paragraph" w:customStyle="1" w:styleId="ConsPlusTitle">
    <w:name w:val="ConsPlusTitle"/>
    <w:rsid w:val="00E33F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1B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79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2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24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4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2531</Words>
  <Characters>14432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Гуруев Геннадий Олегович</dc:creator>
  <cp:keywords/>
  <dc:description/>
  <cp:lastModifiedBy>Пользователь Windows</cp:lastModifiedBy>
  <cp:revision>22</cp:revision>
  <cp:lastPrinted>2024-01-23T01:13:00Z</cp:lastPrinted>
  <dcterms:created xsi:type="dcterms:W3CDTF">2021-10-13T07:58:00Z</dcterms:created>
  <dcterms:modified xsi:type="dcterms:W3CDTF">2026-04-30T02:21:00Z</dcterms:modified>
</cp:coreProperties>
</file>